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8C50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14:paraId="7DF249B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益阳市农业农村局重大行政执法决定法制审核清单</w:t>
      </w:r>
    </w:p>
    <w:tbl>
      <w:tblPr>
        <w:tblStyle w:val="3"/>
        <w:tblW w:w="15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1350"/>
        <w:gridCol w:w="2775"/>
        <w:gridCol w:w="1380"/>
        <w:gridCol w:w="8175"/>
        <w:gridCol w:w="945"/>
      </w:tblGrid>
      <w:tr w14:paraId="11E1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55" w:type="dxa"/>
            <w:noWrap w:val="0"/>
            <w:vAlign w:val="center"/>
          </w:tcPr>
          <w:p w14:paraId="59F5BD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序号</w:t>
            </w:r>
          </w:p>
        </w:tc>
        <w:tc>
          <w:tcPr>
            <w:tcW w:w="1350" w:type="dxa"/>
            <w:noWrap w:val="0"/>
            <w:vAlign w:val="center"/>
          </w:tcPr>
          <w:p w14:paraId="5ECDE0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事项分类</w:t>
            </w:r>
          </w:p>
        </w:tc>
        <w:tc>
          <w:tcPr>
            <w:tcW w:w="2775" w:type="dxa"/>
            <w:noWrap w:val="0"/>
            <w:vAlign w:val="center"/>
          </w:tcPr>
          <w:p w14:paraId="407438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事项名称</w:t>
            </w:r>
          </w:p>
        </w:tc>
        <w:tc>
          <w:tcPr>
            <w:tcW w:w="1380" w:type="dxa"/>
            <w:noWrap w:val="0"/>
            <w:vAlign w:val="center"/>
          </w:tcPr>
          <w:p w14:paraId="79212D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提交单位</w:t>
            </w:r>
          </w:p>
        </w:tc>
        <w:tc>
          <w:tcPr>
            <w:tcW w:w="8175" w:type="dxa"/>
            <w:noWrap w:val="0"/>
            <w:vAlign w:val="center"/>
          </w:tcPr>
          <w:p w14:paraId="565FB3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审核重点</w:t>
            </w:r>
          </w:p>
        </w:tc>
        <w:tc>
          <w:tcPr>
            <w:tcW w:w="945" w:type="dxa"/>
            <w:noWrap w:val="0"/>
            <w:vAlign w:val="center"/>
          </w:tcPr>
          <w:p w14:paraId="0CE137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审核</w:t>
            </w:r>
          </w:p>
          <w:p w14:paraId="5D5025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时限</w:t>
            </w:r>
          </w:p>
        </w:tc>
      </w:tr>
      <w:tr w14:paraId="147B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555" w:type="dxa"/>
            <w:vMerge w:val="restart"/>
            <w:noWrap w:val="0"/>
            <w:vAlign w:val="center"/>
          </w:tcPr>
          <w:p w14:paraId="1FF1B9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w:t>
            </w:r>
          </w:p>
        </w:tc>
        <w:tc>
          <w:tcPr>
            <w:tcW w:w="1350" w:type="dxa"/>
            <w:vMerge w:val="restart"/>
            <w:noWrap w:val="0"/>
            <w:vAlign w:val="center"/>
          </w:tcPr>
          <w:p w14:paraId="0FC6E4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i w:val="0"/>
                <w:iCs w:val="0"/>
                <w:caps w:val="0"/>
                <w:color w:val="000000"/>
                <w:spacing w:val="0"/>
                <w:sz w:val="24"/>
                <w:szCs w:val="24"/>
                <w:shd w:val="clear" w:color="auto" w:fill="FFFFFF"/>
                <w:lang w:val="en-US" w:eastAsia="zh-CN"/>
              </w:rPr>
            </w:pPr>
            <w:r>
              <w:rPr>
                <w:rFonts w:hint="default" w:ascii="Times New Roman" w:hAnsi="Times New Roman" w:eastAsia="宋体" w:cs="Times New Roman"/>
                <w:i w:val="0"/>
                <w:iCs w:val="0"/>
                <w:caps w:val="0"/>
                <w:color w:val="000000"/>
                <w:spacing w:val="0"/>
                <w:sz w:val="24"/>
                <w:szCs w:val="24"/>
                <w:shd w:val="clear" w:color="auto" w:fill="FFFFFF"/>
                <w:lang w:val="en-US" w:eastAsia="zh-CN"/>
              </w:rPr>
              <w:t>行政</w:t>
            </w:r>
          </w:p>
          <w:p w14:paraId="5E7587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aps w:val="0"/>
                <w:color w:val="000000"/>
                <w:spacing w:val="0"/>
                <w:sz w:val="24"/>
                <w:szCs w:val="24"/>
                <w:shd w:val="clear" w:color="auto" w:fill="FFFFFF"/>
                <w:lang w:val="en-US" w:eastAsia="zh-CN"/>
              </w:rPr>
              <w:t>许可</w:t>
            </w:r>
          </w:p>
        </w:tc>
        <w:tc>
          <w:tcPr>
            <w:tcW w:w="2775" w:type="dxa"/>
            <w:noWrap w:val="0"/>
            <w:vAlign w:val="center"/>
          </w:tcPr>
          <w:p w14:paraId="3AB957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aps w:val="0"/>
                <w:color w:val="000000"/>
                <w:spacing w:val="0"/>
                <w:sz w:val="24"/>
                <w:szCs w:val="24"/>
                <w:shd w:val="clear" w:color="auto" w:fill="FFFFFF"/>
              </w:rPr>
              <w:t>拟实施听证的行政许可</w:t>
            </w:r>
          </w:p>
        </w:tc>
        <w:tc>
          <w:tcPr>
            <w:tcW w:w="1380" w:type="dxa"/>
            <w:noWrap w:val="0"/>
            <w:vAlign w:val="center"/>
          </w:tcPr>
          <w:p w14:paraId="6099AF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i w:val="0"/>
                <w:iCs w:val="0"/>
                <w:caps w:val="0"/>
                <w:color w:val="000000"/>
                <w:spacing w:val="0"/>
                <w:sz w:val="24"/>
                <w:szCs w:val="24"/>
                <w:shd w:val="clear" w:color="auto" w:fill="FFFFFF"/>
                <w:lang w:val="en-US" w:eastAsia="zh-CN"/>
              </w:rPr>
            </w:pPr>
            <w:r>
              <w:rPr>
                <w:rFonts w:hint="default" w:ascii="Times New Roman" w:hAnsi="Times New Roman" w:eastAsia="宋体" w:cs="Times New Roman"/>
                <w:i w:val="0"/>
                <w:iCs w:val="0"/>
                <w:caps w:val="0"/>
                <w:color w:val="000000"/>
                <w:spacing w:val="0"/>
                <w:sz w:val="24"/>
                <w:szCs w:val="24"/>
                <w:shd w:val="clear" w:color="auto" w:fill="FFFFFF"/>
                <w:lang w:val="en-US" w:eastAsia="zh-CN"/>
              </w:rPr>
              <w:t>机关业</w:t>
            </w:r>
          </w:p>
          <w:p w14:paraId="3C34FE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i w:val="0"/>
                <w:iCs w:val="0"/>
                <w:caps w:val="0"/>
                <w:color w:val="000000"/>
                <w:spacing w:val="0"/>
                <w:sz w:val="24"/>
                <w:szCs w:val="24"/>
                <w:shd w:val="clear" w:color="auto" w:fill="FFFFFF"/>
                <w:lang w:val="en-US" w:eastAsia="zh-CN"/>
              </w:rPr>
            </w:pPr>
            <w:r>
              <w:rPr>
                <w:rFonts w:hint="default" w:ascii="Times New Roman" w:hAnsi="Times New Roman" w:eastAsia="宋体" w:cs="Times New Roman"/>
                <w:i w:val="0"/>
                <w:iCs w:val="0"/>
                <w:caps w:val="0"/>
                <w:color w:val="000000"/>
                <w:spacing w:val="0"/>
                <w:sz w:val="24"/>
                <w:szCs w:val="24"/>
                <w:shd w:val="clear" w:color="auto" w:fill="FFFFFF"/>
                <w:lang w:val="en-US" w:eastAsia="zh-CN"/>
              </w:rPr>
              <w:t>务科室</w:t>
            </w:r>
          </w:p>
        </w:tc>
        <w:tc>
          <w:tcPr>
            <w:tcW w:w="8175" w:type="dxa"/>
            <w:noWrap w:val="0"/>
            <w:vAlign w:val="center"/>
          </w:tcPr>
          <w:p w14:paraId="393F3C0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aps w:val="0"/>
                <w:color w:val="000000"/>
                <w:spacing w:val="0"/>
                <w:sz w:val="24"/>
                <w:szCs w:val="24"/>
                <w:shd w:val="clear" w:color="auto" w:fill="FFFFFF"/>
              </w:rPr>
              <w:t>行政许可主体是否合法，行政许可人员是否具备执法资格；适用法律、法规、规章是否准确；程序、期限是否合法；是否有超越本机关职权范围或滥用职权的情形；行政许可文书是否规范、齐备；其他应当审核的内容。</w:t>
            </w:r>
          </w:p>
        </w:tc>
        <w:tc>
          <w:tcPr>
            <w:tcW w:w="945" w:type="dxa"/>
            <w:noWrap w:val="0"/>
            <w:vAlign w:val="center"/>
          </w:tcPr>
          <w:p w14:paraId="7E3430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i w:val="0"/>
                <w:iCs w:val="0"/>
                <w:caps w:val="0"/>
                <w:color w:val="000000"/>
                <w:spacing w:val="0"/>
                <w:sz w:val="24"/>
                <w:szCs w:val="24"/>
                <w:highlight w:val="none"/>
                <w:shd w:val="clear" w:color="auto" w:fill="FFFFFF"/>
                <w:lang w:eastAsia="zh-CN"/>
              </w:rPr>
            </w:pPr>
            <w:r>
              <w:rPr>
                <w:rFonts w:hint="default" w:ascii="Times New Roman" w:hAnsi="Times New Roman" w:eastAsia="宋体" w:cs="Times New Roman"/>
                <w:i w:val="0"/>
                <w:iCs w:val="0"/>
                <w:caps w:val="0"/>
                <w:color w:val="000000"/>
                <w:spacing w:val="0"/>
                <w:sz w:val="24"/>
                <w:szCs w:val="24"/>
                <w:highlight w:val="none"/>
                <w:shd w:val="clear" w:color="auto" w:fill="FFFFFF"/>
                <w:lang w:val="en-US" w:eastAsia="zh-CN"/>
              </w:rPr>
              <w:t>5</w:t>
            </w:r>
            <w:r>
              <w:rPr>
                <w:rFonts w:hint="default" w:ascii="Times New Roman" w:hAnsi="Times New Roman" w:eastAsia="宋体" w:cs="Times New Roman"/>
                <w:i w:val="0"/>
                <w:iCs w:val="0"/>
                <w:caps w:val="0"/>
                <w:color w:val="000000"/>
                <w:spacing w:val="0"/>
                <w:sz w:val="24"/>
                <w:szCs w:val="24"/>
                <w:highlight w:val="none"/>
                <w:shd w:val="clear" w:color="auto" w:fill="FFFFFF"/>
                <w:lang w:eastAsia="zh-CN"/>
              </w:rPr>
              <w:t>个</w:t>
            </w:r>
          </w:p>
          <w:p w14:paraId="71C011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i w:val="0"/>
                <w:iCs w:val="0"/>
                <w:caps w:val="0"/>
                <w:color w:val="000000"/>
                <w:spacing w:val="0"/>
                <w:sz w:val="24"/>
                <w:szCs w:val="24"/>
                <w:highlight w:val="none"/>
                <w:shd w:val="clear" w:color="auto" w:fill="FFFFFF"/>
                <w:lang w:val="en-US" w:eastAsia="zh-CN"/>
              </w:rPr>
            </w:pPr>
            <w:r>
              <w:rPr>
                <w:rFonts w:hint="default" w:ascii="Times New Roman" w:hAnsi="Times New Roman" w:eastAsia="宋体" w:cs="Times New Roman"/>
                <w:i w:val="0"/>
                <w:iCs w:val="0"/>
                <w:caps w:val="0"/>
                <w:color w:val="000000"/>
                <w:spacing w:val="0"/>
                <w:sz w:val="24"/>
                <w:szCs w:val="24"/>
                <w:highlight w:val="none"/>
                <w:shd w:val="clear" w:color="auto" w:fill="FFFFFF"/>
                <w:lang w:eastAsia="zh-CN"/>
              </w:rPr>
              <w:t>工作日</w:t>
            </w:r>
          </w:p>
        </w:tc>
      </w:tr>
      <w:tr w14:paraId="65C1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exact"/>
          <w:jc w:val="center"/>
        </w:trPr>
        <w:tc>
          <w:tcPr>
            <w:tcW w:w="555" w:type="dxa"/>
            <w:vMerge w:val="continue"/>
            <w:noWrap w:val="0"/>
            <w:vAlign w:val="center"/>
          </w:tcPr>
          <w:p w14:paraId="7631B6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p>
        </w:tc>
        <w:tc>
          <w:tcPr>
            <w:tcW w:w="1350" w:type="dxa"/>
            <w:vMerge w:val="continue"/>
            <w:noWrap w:val="0"/>
            <w:vAlign w:val="center"/>
          </w:tcPr>
          <w:p w14:paraId="49C054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p>
        </w:tc>
        <w:tc>
          <w:tcPr>
            <w:tcW w:w="2775" w:type="dxa"/>
            <w:noWrap w:val="0"/>
            <w:vAlign w:val="center"/>
          </w:tcPr>
          <w:p w14:paraId="577F3B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aps w:val="0"/>
                <w:color w:val="000000"/>
                <w:spacing w:val="0"/>
                <w:sz w:val="24"/>
                <w:szCs w:val="24"/>
                <w:shd w:val="clear" w:color="auto" w:fill="FFFFFF"/>
              </w:rPr>
              <w:t>拟作出不予许可或撤销许可决定的</w:t>
            </w:r>
          </w:p>
        </w:tc>
        <w:tc>
          <w:tcPr>
            <w:tcW w:w="1380" w:type="dxa"/>
            <w:noWrap w:val="0"/>
            <w:vAlign w:val="center"/>
          </w:tcPr>
          <w:p w14:paraId="1C621F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i w:val="0"/>
                <w:iCs w:val="0"/>
                <w:caps w:val="0"/>
                <w:color w:val="000000"/>
                <w:spacing w:val="0"/>
                <w:sz w:val="24"/>
                <w:szCs w:val="24"/>
                <w:shd w:val="clear" w:color="auto" w:fill="FFFFFF"/>
                <w:lang w:val="en-US" w:eastAsia="zh-CN"/>
              </w:rPr>
            </w:pPr>
            <w:r>
              <w:rPr>
                <w:rFonts w:hint="default" w:ascii="Times New Roman" w:hAnsi="Times New Roman" w:eastAsia="宋体" w:cs="Times New Roman"/>
                <w:i w:val="0"/>
                <w:iCs w:val="0"/>
                <w:caps w:val="0"/>
                <w:color w:val="000000"/>
                <w:spacing w:val="0"/>
                <w:sz w:val="24"/>
                <w:szCs w:val="24"/>
                <w:shd w:val="clear" w:color="auto" w:fill="FFFFFF"/>
                <w:lang w:val="en-US" w:eastAsia="zh-CN"/>
              </w:rPr>
              <w:t>机关业</w:t>
            </w:r>
          </w:p>
          <w:p w14:paraId="72FA04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i w:val="0"/>
                <w:iCs w:val="0"/>
                <w:caps w:val="0"/>
                <w:color w:val="000000"/>
                <w:spacing w:val="0"/>
                <w:sz w:val="24"/>
                <w:szCs w:val="24"/>
                <w:shd w:val="clear" w:color="auto" w:fill="FFFFFF"/>
                <w:lang w:val="en-US" w:eastAsia="zh-CN"/>
              </w:rPr>
            </w:pPr>
            <w:r>
              <w:rPr>
                <w:rFonts w:hint="default" w:ascii="Times New Roman" w:hAnsi="Times New Roman" w:eastAsia="宋体" w:cs="Times New Roman"/>
                <w:i w:val="0"/>
                <w:iCs w:val="0"/>
                <w:caps w:val="0"/>
                <w:color w:val="000000"/>
                <w:spacing w:val="0"/>
                <w:sz w:val="24"/>
                <w:szCs w:val="24"/>
                <w:shd w:val="clear" w:color="auto" w:fill="FFFFFF"/>
                <w:lang w:val="en-US" w:eastAsia="zh-CN"/>
              </w:rPr>
              <w:t>务科室</w:t>
            </w:r>
          </w:p>
        </w:tc>
        <w:tc>
          <w:tcPr>
            <w:tcW w:w="8175" w:type="dxa"/>
            <w:noWrap w:val="0"/>
            <w:vAlign w:val="center"/>
          </w:tcPr>
          <w:p w14:paraId="6C0BA97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aps w:val="0"/>
                <w:color w:val="000000"/>
                <w:spacing w:val="0"/>
                <w:sz w:val="24"/>
                <w:szCs w:val="24"/>
                <w:shd w:val="clear" w:color="auto" w:fill="FFFFFF"/>
              </w:rPr>
              <w:t>审核不予行政许可或撤销行政许可决定的依据是否准确</w:t>
            </w:r>
            <w:r>
              <w:rPr>
                <w:rFonts w:hint="default" w:ascii="Times New Roman" w:hAnsi="Times New Roman" w:eastAsia="宋体" w:cs="Times New Roman"/>
                <w:i w:val="0"/>
                <w:iCs w:val="0"/>
                <w:caps w:val="0"/>
                <w:color w:val="000000"/>
                <w:spacing w:val="0"/>
                <w:sz w:val="24"/>
                <w:szCs w:val="24"/>
                <w:shd w:val="clear" w:color="auto" w:fill="FFFFFF"/>
                <w:lang w:eastAsia="zh-CN"/>
              </w:rPr>
              <w:t>；</w:t>
            </w:r>
            <w:r>
              <w:rPr>
                <w:rFonts w:hint="default" w:ascii="Times New Roman" w:hAnsi="Times New Roman" w:eastAsia="宋体" w:cs="Times New Roman"/>
                <w:i w:val="0"/>
                <w:iCs w:val="0"/>
                <w:caps w:val="0"/>
                <w:color w:val="000000"/>
                <w:spacing w:val="0"/>
                <w:sz w:val="24"/>
                <w:szCs w:val="24"/>
                <w:shd w:val="clear" w:color="auto" w:fill="FFFFFF"/>
              </w:rPr>
              <w:t>程序是否合法</w:t>
            </w:r>
            <w:r>
              <w:rPr>
                <w:rFonts w:hint="default" w:ascii="Times New Roman" w:hAnsi="Times New Roman" w:eastAsia="宋体" w:cs="Times New Roman"/>
                <w:i w:val="0"/>
                <w:iCs w:val="0"/>
                <w:caps w:val="0"/>
                <w:color w:val="000000"/>
                <w:spacing w:val="0"/>
                <w:sz w:val="24"/>
                <w:szCs w:val="24"/>
                <w:shd w:val="clear" w:color="auto" w:fill="FFFFFF"/>
                <w:lang w:eastAsia="zh-CN"/>
              </w:rPr>
              <w:t>。</w:t>
            </w:r>
          </w:p>
        </w:tc>
        <w:tc>
          <w:tcPr>
            <w:tcW w:w="945" w:type="dxa"/>
            <w:noWrap w:val="0"/>
            <w:vAlign w:val="center"/>
          </w:tcPr>
          <w:p w14:paraId="4748DE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i w:val="0"/>
                <w:iCs w:val="0"/>
                <w:caps w:val="0"/>
                <w:color w:val="000000"/>
                <w:spacing w:val="0"/>
                <w:sz w:val="24"/>
                <w:szCs w:val="24"/>
                <w:highlight w:val="none"/>
                <w:shd w:val="clear" w:color="auto" w:fill="FFFFFF"/>
                <w:lang w:eastAsia="zh-CN"/>
              </w:rPr>
            </w:pPr>
            <w:r>
              <w:rPr>
                <w:rFonts w:hint="default" w:ascii="Times New Roman" w:hAnsi="Times New Roman" w:eastAsia="宋体" w:cs="Times New Roman"/>
                <w:i w:val="0"/>
                <w:iCs w:val="0"/>
                <w:caps w:val="0"/>
                <w:color w:val="000000"/>
                <w:spacing w:val="0"/>
                <w:sz w:val="24"/>
                <w:szCs w:val="24"/>
                <w:highlight w:val="none"/>
                <w:shd w:val="clear" w:color="auto" w:fill="FFFFFF"/>
                <w:lang w:val="en-US" w:eastAsia="zh-CN"/>
              </w:rPr>
              <w:t>5</w:t>
            </w:r>
            <w:r>
              <w:rPr>
                <w:rFonts w:hint="default" w:ascii="Times New Roman" w:hAnsi="Times New Roman" w:eastAsia="宋体" w:cs="Times New Roman"/>
                <w:i w:val="0"/>
                <w:iCs w:val="0"/>
                <w:caps w:val="0"/>
                <w:color w:val="000000"/>
                <w:spacing w:val="0"/>
                <w:sz w:val="24"/>
                <w:szCs w:val="24"/>
                <w:highlight w:val="none"/>
                <w:shd w:val="clear" w:color="auto" w:fill="FFFFFF"/>
                <w:lang w:eastAsia="zh-CN"/>
              </w:rPr>
              <w:t>个</w:t>
            </w:r>
          </w:p>
          <w:p w14:paraId="73AC71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i w:val="0"/>
                <w:iCs w:val="0"/>
                <w:caps w:val="0"/>
                <w:color w:val="000000"/>
                <w:spacing w:val="0"/>
                <w:sz w:val="24"/>
                <w:szCs w:val="24"/>
                <w:highlight w:val="none"/>
                <w:shd w:val="clear" w:color="auto" w:fill="FFFFFF"/>
                <w:lang w:val="en-US" w:eastAsia="zh-CN"/>
              </w:rPr>
            </w:pPr>
            <w:r>
              <w:rPr>
                <w:rFonts w:hint="default" w:ascii="Times New Roman" w:hAnsi="Times New Roman" w:eastAsia="宋体" w:cs="Times New Roman"/>
                <w:i w:val="0"/>
                <w:iCs w:val="0"/>
                <w:caps w:val="0"/>
                <w:color w:val="000000"/>
                <w:spacing w:val="0"/>
                <w:sz w:val="24"/>
                <w:szCs w:val="24"/>
                <w:highlight w:val="none"/>
                <w:shd w:val="clear" w:color="auto" w:fill="FFFFFF"/>
                <w:lang w:eastAsia="zh-CN"/>
              </w:rPr>
              <w:t>工作日</w:t>
            </w:r>
          </w:p>
        </w:tc>
      </w:tr>
      <w:tr w14:paraId="0C61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555" w:type="dxa"/>
            <w:vMerge w:val="continue"/>
            <w:noWrap w:val="0"/>
            <w:vAlign w:val="center"/>
          </w:tcPr>
          <w:p w14:paraId="3DBC39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p>
        </w:tc>
        <w:tc>
          <w:tcPr>
            <w:tcW w:w="1350" w:type="dxa"/>
            <w:vMerge w:val="continue"/>
            <w:noWrap w:val="0"/>
            <w:vAlign w:val="center"/>
          </w:tcPr>
          <w:p w14:paraId="55EDCD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p>
        </w:tc>
        <w:tc>
          <w:tcPr>
            <w:tcW w:w="2775" w:type="dxa"/>
            <w:noWrap w:val="0"/>
            <w:vAlign w:val="center"/>
          </w:tcPr>
          <w:p w14:paraId="6B874E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aps w:val="0"/>
                <w:color w:val="000000"/>
                <w:spacing w:val="0"/>
                <w:sz w:val="24"/>
                <w:szCs w:val="24"/>
                <w:shd w:val="clear" w:color="auto" w:fill="FFFFFF"/>
              </w:rPr>
              <w:t>法律法规规章规定以及本机关认定的其他重大行政许可事项</w:t>
            </w:r>
          </w:p>
        </w:tc>
        <w:tc>
          <w:tcPr>
            <w:tcW w:w="1380" w:type="dxa"/>
            <w:noWrap w:val="0"/>
            <w:vAlign w:val="center"/>
          </w:tcPr>
          <w:p w14:paraId="57ABAA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i w:val="0"/>
                <w:iCs w:val="0"/>
                <w:caps w:val="0"/>
                <w:color w:val="000000"/>
                <w:spacing w:val="0"/>
                <w:sz w:val="24"/>
                <w:szCs w:val="24"/>
                <w:shd w:val="clear" w:color="auto" w:fill="FFFFFF"/>
                <w:lang w:val="en-US" w:eastAsia="zh-CN"/>
              </w:rPr>
            </w:pPr>
            <w:r>
              <w:rPr>
                <w:rFonts w:hint="default" w:ascii="Times New Roman" w:hAnsi="Times New Roman" w:eastAsia="宋体" w:cs="Times New Roman"/>
                <w:i w:val="0"/>
                <w:iCs w:val="0"/>
                <w:caps w:val="0"/>
                <w:color w:val="000000"/>
                <w:spacing w:val="0"/>
                <w:sz w:val="24"/>
                <w:szCs w:val="24"/>
                <w:shd w:val="clear" w:color="auto" w:fill="FFFFFF"/>
                <w:lang w:val="en-US" w:eastAsia="zh-CN"/>
              </w:rPr>
              <w:t>机关业</w:t>
            </w:r>
          </w:p>
          <w:p w14:paraId="38800F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i w:val="0"/>
                <w:iCs w:val="0"/>
                <w:caps w:val="0"/>
                <w:color w:val="000000"/>
                <w:spacing w:val="0"/>
                <w:sz w:val="24"/>
                <w:szCs w:val="24"/>
                <w:shd w:val="clear" w:color="auto" w:fill="FFFFFF"/>
                <w:lang w:val="en-US" w:eastAsia="zh-CN"/>
              </w:rPr>
            </w:pPr>
            <w:r>
              <w:rPr>
                <w:rFonts w:hint="default" w:ascii="Times New Roman" w:hAnsi="Times New Roman" w:eastAsia="宋体" w:cs="Times New Roman"/>
                <w:i w:val="0"/>
                <w:iCs w:val="0"/>
                <w:caps w:val="0"/>
                <w:color w:val="000000"/>
                <w:spacing w:val="0"/>
                <w:sz w:val="24"/>
                <w:szCs w:val="24"/>
                <w:shd w:val="clear" w:color="auto" w:fill="FFFFFF"/>
                <w:lang w:val="en-US" w:eastAsia="zh-CN"/>
              </w:rPr>
              <w:t>务科室</w:t>
            </w:r>
          </w:p>
        </w:tc>
        <w:tc>
          <w:tcPr>
            <w:tcW w:w="8175" w:type="dxa"/>
            <w:noWrap w:val="0"/>
            <w:vAlign w:val="center"/>
          </w:tcPr>
          <w:p w14:paraId="68602DD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aps w:val="0"/>
                <w:color w:val="000000"/>
                <w:spacing w:val="0"/>
                <w:sz w:val="24"/>
                <w:szCs w:val="24"/>
                <w:shd w:val="clear" w:color="auto" w:fill="FFFFFF"/>
              </w:rPr>
              <w:t>行政许可主体是否合法，行政许可人员是否具备执法资格；适用法律、法规、规章是否准确；程序、期限是否合法；是否有超越本机关职权范围或滥用职权的情形；行政许可文书是否规范、齐备；其他应当审核的内容。</w:t>
            </w:r>
          </w:p>
        </w:tc>
        <w:tc>
          <w:tcPr>
            <w:tcW w:w="945" w:type="dxa"/>
            <w:noWrap w:val="0"/>
            <w:vAlign w:val="center"/>
          </w:tcPr>
          <w:p w14:paraId="5059A5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i w:val="0"/>
                <w:iCs w:val="0"/>
                <w:caps w:val="0"/>
                <w:color w:val="000000"/>
                <w:spacing w:val="0"/>
                <w:sz w:val="24"/>
                <w:szCs w:val="24"/>
                <w:highlight w:val="none"/>
                <w:shd w:val="clear" w:color="auto" w:fill="FFFFFF"/>
                <w:lang w:eastAsia="zh-CN"/>
              </w:rPr>
            </w:pPr>
            <w:r>
              <w:rPr>
                <w:rFonts w:hint="default" w:ascii="Times New Roman" w:hAnsi="Times New Roman" w:eastAsia="宋体" w:cs="Times New Roman"/>
                <w:i w:val="0"/>
                <w:iCs w:val="0"/>
                <w:caps w:val="0"/>
                <w:color w:val="000000"/>
                <w:spacing w:val="0"/>
                <w:sz w:val="24"/>
                <w:szCs w:val="24"/>
                <w:highlight w:val="none"/>
                <w:shd w:val="clear" w:color="auto" w:fill="FFFFFF"/>
                <w:lang w:val="en-US" w:eastAsia="zh-CN"/>
              </w:rPr>
              <w:t>5</w:t>
            </w:r>
            <w:r>
              <w:rPr>
                <w:rFonts w:hint="default" w:ascii="Times New Roman" w:hAnsi="Times New Roman" w:eastAsia="宋体" w:cs="Times New Roman"/>
                <w:i w:val="0"/>
                <w:iCs w:val="0"/>
                <w:caps w:val="0"/>
                <w:color w:val="000000"/>
                <w:spacing w:val="0"/>
                <w:sz w:val="24"/>
                <w:szCs w:val="24"/>
                <w:highlight w:val="none"/>
                <w:shd w:val="clear" w:color="auto" w:fill="FFFFFF"/>
                <w:lang w:eastAsia="zh-CN"/>
              </w:rPr>
              <w:t>个</w:t>
            </w:r>
          </w:p>
          <w:p w14:paraId="0544D0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i w:val="0"/>
                <w:iCs w:val="0"/>
                <w:caps w:val="0"/>
                <w:color w:val="000000"/>
                <w:spacing w:val="0"/>
                <w:sz w:val="24"/>
                <w:szCs w:val="24"/>
                <w:highlight w:val="none"/>
                <w:shd w:val="clear" w:color="auto" w:fill="FFFFFF"/>
                <w:lang w:val="en-US" w:eastAsia="zh-CN"/>
              </w:rPr>
            </w:pPr>
            <w:r>
              <w:rPr>
                <w:rFonts w:hint="default" w:ascii="Times New Roman" w:hAnsi="Times New Roman" w:eastAsia="宋体" w:cs="Times New Roman"/>
                <w:i w:val="0"/>
                <w:iCs w:val="0"/>
                <w:caps w:val="0"/>
                <w:color w:val="000000"/>
                <w:spacing w:val="0"/>
                <w:sz w:val="24"/>
                <w:szCs w:val="24"/>
                <w:highlight w:val="none"/>
                <w:shd w:val="clear" w:color="auto" w:fill="FFFFFF"/>
                <w:lang w:eastAsia="zh-CN"/>
              </w:rPr>
              <w:t>工作日</w:t>
            </w:r>
          </w:p>
        </w:tc>
      </w:tr>
      <w:tr w14:paraId="1EA53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555" w:type="dxa"/>
            <w:vMerge w:val="restart"/>
            <w:noWrap w:val="0"/>
            <w:vAlign w:val="center"/>
          </w:tcPr>
          <w:p w14:paraId="704A8D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w:t>
            </w:r>
          </w:p>
        </w:tc>
        <w:tc>
          <w:tcPr>
            <w:tcW w:w="1350" w:type="dxa"/>
            <w:vMerge w:val="restart"/>
            <w:noWrap w:val="0"/>
            <w:vAlign w:val="center"/>
          </w:tcPr>
          <w:p w14:paraId="6107A6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行政</w:t>
            </w:r>
          </w:p>
          <w:p w14:paraId="2AC92B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处罚</w:t>
            </w:r>
          </w:p>
        </w:tc>
        <w:tc>
          <w:tcPr>
            <w:tcW w:w="2775" w:type="dxa"/>
            <w:noWrap w:val="0"/>
            <w:vAlign w:val="center"/>
          </w:tcPr>
          <w:p w14:paraId="289C89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aps w:val="0"/>
                <w:color w:val="000000"/>
                <w:spacing w:val="0"/>
                <w:sz w:val="24"/>
                <w:szCs w:val="24"/>
                <w:shd w:val="clear" w:color="auto" w:fill="FFFFFF"/>
              </w:rPr>
              <w:t>责令停产停业</w:t>
            </w:r>
          </w:p>
        </w:tc>
        <w:tc>
          <w:tcPr>
            <w:tcW w:w="1380" w:type="dxa"/>
            <w:noWrap w:val="0"/>
            <w:vAlign w:val="center"/>
          </w:tcPr>
          <w:p w14:paraId="2FFA60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aps w:val="0"/>
                <w:color w:val="000000"/>
                <w:spacing w:val="0"/>
                <w:sz w:val="24"/>
                <w:szCs w:val="24"/>
                <w:shd w:val="clear" w:color="auto" w:fill="FFFFFF"/>
                <w:lang w:val="en-US" w:eastAsia="zh-CN"/>
              </w:rPr>
              <w:t>执法支队</w:t>
            </w:r>
          </w:p>
        </w:tc>
        <w:tc>
          <w:tcPr>
            <w:tcW w:w="8175" w:type="dxa"/>
            <w:noWrap w:val="0"/>
            <w:vAlign w:val="center"/>
          </w:tcPr>
          <w:p w14:paraId="7AB03BA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aps w:val="0"/>
                <w:color w:val="000000"/>
                <w:spacing w:val="0"/>
                <w:sz w:val="24"/>
                <w:szCs w:val="24"/>
                <w:shd w:val="clear" w:color="auto" w:fill="FFFFFF"/>
              </w:rPr>
              <w:t>行政执法机关主体是否合法，行政执法人员是否具备执法资格；主要事实是否清楚，证据是否确凿、充分；适用法律、法规、规章是否准确，执行</w:t>
            </w:r>
            <w:r>
              <w:rPr>
                <w:rFonts w:hint="default" w:ascii="Times New Roman" w:hAnsi="Times New Roman" w:eastAsia="宋体" w:cs="Times New Roman"/>
                <w:i w:val="0"/>
                <w:iCs w:val="0"/>
                <w:caps w:val="0"/>
                <w:color w:val="000000"/>
                <w:spacing w:val="0"/>
                <w:sz w:val="24"/>
                <w:szCs w:val="24"/>
                <w:shd w:val="clear" w:color="auto" w:fill="FFFFFF"/>
                <w:lang w:eastAsia="zh-CN"/>
              </w:rPr>
              <w:t>行政处罚自由裁量基准</w:t>
            </w:r>
            <w:r>
              <w:rPr>
                <w:rFonts w:hint="default" w:ascii="Times New Roman" w:hAnsi="Times New Roman" w:eastAsia="宋体" w:cs="Times New Roman"/>
                <w:i w:val="0"/>
                <w:iCs w:val="0"/>
                <w:caps w:val="0"/>
                <w:color w:val="000000"/>
                <w:spacing w:val="0"/>
                <w:sz w:val="24"/>
                <w:szCs w:val="24"/>
                <w:shd w:val="clear" w:color="auto" w:fill="FFFFFF"/>
              </w:rPr>
              <w:t>是否适当；程序是否合法；是否有超越本机关职权范围或滥用职权的情形；行政执法文书是否规范、齐备；违法行为是否涉嫌犯罪需要移送司法机关；其他应当审核的内容。</w:t>
            </w:r>
          </w:p>
        </w:tc>
        <w:tc>
          <w:tcPr>
            <w:tcW w:w="945" w:type="dxa"/>
            <w:noWrap w:val="0"/>
            <w:vAlign w:val="center"/>
          </w:tcPr>
          <w:p w14:paraId="63DCDC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i w:val="0"/>
                <w:iCs w:val="0"/>
                <w:caps w:val="0"/>
                <w:color w:val="000000"/>
                <w:spacing w:val="0"/>
                <w:sz w:val="24"/>
                <w:szCs w:val="24"/>
                <w:highlight w:val="none"/>
                <w:shd w:val="clear" w:color="auto" w:fill="FFFFFF"/>
                <w:lang w:eastAsia="zh-CN"/>
              </w:rPr>
            </w:pPr>
            <w:r>
              <w:rPr>
                <w:rFonts w:hint="default" w:ascii="Times New Roman" w:hAnsi="Times New Roman" w:eastAsia="宋体" w:cs="Times New Roman"/>
                <w:i w:val="0"/>
                <w:iCs w:val="0"/>
                <w:caps w:val="0"/>
                <w:color w:val="000000"/>
                <w:spacing w:val="0"/>
                <w:sz w:val="24"/>
                <w:szCs w:val="24"/>
                <w:highlight w:val="none"/>
                <w:shd w:val="clear" w:color="auto" w:fill="FFFFFF"/>
                <w:lang w:val="en-US" w:eastAsia="zh-CN"/>
              </w:rPr>
              <w:t>5</w:t>
            </w:r>
            <w:r>
              <w:rPr>
                <w:rFonts w:hint="default" w:ascii="Times New Roman" w:hAnsi="Times New Roman" w:eastAsia="宋体" w:cs="Times New Roman"/>
                <w:i w:val="0"/>
                <w:iCs w:val="0"/>
                <w:caps w:val="0"/>
                <w:color w:val="000000"/>
                <w:spacing w:val="0"/>
                <w:sz w:val="24"/>
                <w:szCs w:val="24"/>
                <w:highlight w:val="none"/>
                <w:shd w:val="clear" w:color="auto" w:fill="FFFFFF"/>
                <w:lang w:eastAsia="zh-CN"/>
              </w:rPr>
              <w:t>个</w:t>
            </w:r>
          </w:p>
          <w:p w14:paraId="377F26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i w:val="0"/>
                <w:iCs w:val="0"/>
                <w:caps w:val="0"/>
                <w:color w:val="000000"/>
                <w:spacing w:val="0"/>
                <w:sz w:val="24"/>
                <w:szCs w:val="24"/>
                <w:highlight w:val="none"/>
                <w:shd w:val="clear" w:color="auto" w:fill="FFFFFF"/>
                <w:lang w:val="en-US" w:eastAsia="zh-CN"/>
              </w:rPr>
            </w:pPr>
            <w:r>
              <w:rPr>
                <w:rFonts w:hint="default" w:ascii="Times New Roman" w:hAnsi="Times New Roman" w:eastAsia="宋体" w:cs="Times New Roman"/>
                <w:i w:val="0"/>
                <w:iCs w:val="0"/>
                <w:caps w:val="0"/>
                <w:color w:val="000000"/>
                <w:spacing w:val="0"/>
                <w:sz w:val="24"/>
                <w:szCs w:val="24"/>
                <w:highlight w:val="none"/>
                <w:shd w:val="clear" w:color="auto" w:fill="FFFFFF"/>
                <w:lang w:eastAsia="zh-CN"/>
              </w:rPr>
              <w:t>工作日</w:t>
            </w:r>
          </w:p>
        </w:tc>
      </w:tr>
      <w:tr w14:paraId="7BE2D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jc w:val="center"/>
        </w:trPr>
        <w:tc>
          <w:tcPr>
            <w:tcW w:w="555" w:type="dxa"/>
            <w:vMerge w:val="continue"/>
            <w:noWrap w:val="0"/>
            <w:vAlign w:val="center"/>
          </w:tcPr>
          <w:p w14:paraId="1684D2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p>
        </w:tc>
        <w:tc>
          <w:tcPr>
            <w:tcW w:w="1350" w:type="dxa"/>
            <w:vMerge w:val="continue"/>
            <w:noWrap w:val="0"/>
            <w:vAlign w:val="center"/>
          </w:tcPr>
          <w:p w14:paraId="7A4B65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p>
        </w:tc>
        <w:tc>
          <w:tcPr>
            <w:tcW w:w="2775" w:type="dxa"/>
            <w:noWrap w:val="0"/>
            <w:vAlign w:val="center"/>
          </w:tcPr>
          <w:p w14:paraId="125AB1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aps w:val="0"/>
                <w:color w:val="000000"/>
                <w:spacing w:val="0"/>
                <w:sz w:val="24"/>
                <w:szCs w:val="24"/>
                <w:shd w:val="clear" w:color="auto" w:fill="FFFFFF"/>
                <w:lang w:val="en-US" w:eastAsia="zh-CN"/>
              </w:rPr>
              <w:t>对公民处以5000元以上、对法人和其他组织处以5万元以上罚款或没收违法所得、没收非法财物达到上述金额的</w:t>
            </w:r>
          </w:p>
        </w:tc>
        <w:tc>
          <w:tcPr>
            <w:tcW w:w="1380" w:type="dxa"/>
            <w:noWrap w:val="0"/>
            <w:vAlign w:val="center"/>
          </w:tcPr>
          <w:p w14:paraId="6B2C4A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aps w:val="0"/>
                <w:color w:val="000000"/>
                <w:spacing w:val="0"/>
                <w:sz w:val="24"/>
                <w:szCs w:val="24"/>
                <w:shd w:val="clear" w:color="auto" w:fill="FFFFFF"/>
                <w:lang w:val="en-US" w:eastAsia="zh-CN"/>
              </w:rPr>
              <w:t>执法支队</w:t>
            </w:r>
          </w:p>
        </w:tc>
        <w:tc>
          <w:tcPr>
            <w:tcW w:w="8175" w:type="dxa"/>
            <w:noWrap w:val="0"/>
            <w:vAlign w:val="center"/>
          </w:tcPr>
          <w:p w14:paraId="392A11E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aps w:val="0"/>
                <w:color w:val="000000"/>
                <w:spacing w:val="0"/>
                <w:sz w:val="24"/>
                <w:szCs w:val="24"/>
                <w:shd w:val="clear" w:color="auto" w:fill="FFFFFF"/>
              </w:rPr>
              <w:t>行政执法机关主体是否合法，行政执法人员是否具备执法资格；主要事实是否清楚，证据是否确凿、充分；适用法律、法规、规章是否准确，执行</w:t>
            </w:r>
            <w:r>
              <w:rPr>
                <w:rFonts w:hint="default" w:ascii="Times New Roman" w:hAnsi="Times New Roman" w:eastAsia="宋体" w:cs="Times New Roman"/>
                <w:i w:val="0"/>
                <w:iCs w:val="0"/>
                <w:caps w:val="0"/>
                <w:color w:val="000000"/>
                <w:spacing w:val="0"/>
                <w:sz w:val="24"/>
                <w:szCs w:val="24"/>
                <w:shd w:val="clear" w:color="auto" w:fill="FFFFFF"/>
                <w:lang w:eastAsia="zh-CN"/>
              </w:rPr>
              <w:t>行政处罚自由裁量基准</w:t>
            </w:r>
            <w:r>
              <w:rPr>
                <w:rFonts w:hint="default" w:ascii="Times New Roman" w:hAnsi="Times New Roman" w:eastAsia="宋体" w:cs="Times New Roman"/>
                <w:i w:val="0"/>
                <w:iCs w:val="0"/>
                <w:caps w:val="0"/>
                <w:color w:val="000000"/>
                <w:spacing w:val="0"/>
                <w:sz w:val="24"/>
                <w:szCs w:val="24"/>
                <w:shd w:val="clear" w:color="auto" w:fill="FFFFFF"/>
              </w:rPr>
              <w:t>是否适当；程序是否合法；是否有超越本机关职权范围或滥用职权的情形；行政执法文书是否规范、齐备；违法行为是否涉嫌犯罪需要移送司法机关；其他应当审核的内容。</w:t>
            </w:r>
          </w:p>
        </w:tc>
        <w:tc>
          <w:tcPr>
            <w:tcW w:w="945" w:type="dxa"/>
            <w:noWrap w:val="0"/>
            <w:vAlign w:val="center"/>
          </w:tcPr>
          <w:p w14:paraId="486F39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i w:val="0"/>
                <w:iCs w:val="0"/>
                <w:caps w:val="0"/>
                <w:color w:val="000000"/>
                <w:spacing w:val="0"/>
                <w:sz w:val="24"/>
                <w:szCs w:val="24"/>
                <w:highlight w:val="none"/>
                <w:shd w:val="clear" w:color="auto" w:fill="FFFFFF"/>
                <w:lang w:val="en-US" w:eastAsia="zh-CN"/>
              </w:rPr>
            </w:pPr>
            <w:r>
              <w:rPr>
                <w:rFonts w:hint="default" w:ascii="Times New Roman" w:hAnsi="Times New Roman" w:eastAsia="宋体" w:cs="Times New Roman"/>
                <w:i w:val="0"/>
                <w:iCs w:val="0"/>
                <w:caps w:val="0"/>
                <w:color w:val="000000"/>
                <w:spacing w:val="0"/>
                <w:sz w:val="24"/>
                <w:szCs w:val="24"/>
                <w:highlight w:val="none"/>
                <w:shd w:val="clear" w:color="auto" w:fill="FFFFFF"/>
                <w:lang w:val="en-US" w:eastAsia="zh-CN"/>
              </w:rPr>
              <w:t>5</w:t>
            </w:r>
            <w:r>
              <w:rPr>
                <w:rFonts w:hint="default" w:ascii="Times New Roman" w:hAnsi="Times New Roman" w:eastAsia="宋体" w:cs="Times New Roman"/>
                <w:i w:val="0"/>
                <w:iCs w:val="0"/>
                <w:caps w:val="0"/>
                <w:color w:val="000000"/>
                <w:spacing w:val="0"/>
                <w:sz w:val="24"/>
                <w:szCs w:val="24"/>
                <w:highlight w:val="none"/>
                <w:shd w:val="clear" w:color="auto" w:fill="FFFFFF"/>
                <w:lang w:eastAsia="zh-CN"/>
              </w:rPr>
              <w:t>个工作日</w:t>
            </w:r>
          </w:p>
        </w:tc>
      </w:tr>
      <w:tr w14:paraId="5158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jc w:val="center"/>
        </w:trPr>
        <w:tc>
          <w:tcPr>
            <w:tcW w:w="555" w:type="dxa"/>
            <w:vMerge w:val="continue"/>
            <w:noWrap w:val="0"/>
            <w:vAlign w:val="center"/>
          </w:tcPr>
          <w:p w14:paraId="14515F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p>
        </w:tc>
        <w:tc>
          <w:tcPr>
            <w:tcW w:w="1350" w:type="dxa"/>
            <w:vMerge w:val="continue"/>
            <w:noWrap w:val="0"/>
            <w:vAlign w:val="center"/>
          </w:tcPr>
          <w:p w14:paraId="4371B0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p>
        </w:tc>
        <w:tc>
          <w:tcPr>
            <w:tcW w:w="2775" w:type="dxa"/>
            <w:noWrap w:val="0"/>
            <w:vAlign w:val="center"/>
          </w:tcPr>
          <w:p w14:paraId="2A82B1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aps w:val="0"/>
                <w:color w:val="000000"/>
                <w:spacing w:val="0"/>
                <w:sz w:val="24"/>
                <w:szCs w:val="24"/>
                <w:shd w:val="clear" w:color="auto" w:fill="FFFFFF"/>
              </w:rPr>
              <w:t>吊销许可证</w:t>
            </w:r>
          </w:p>
        </w:tc>
        <w:tc>
          <w:tcPr>
            <w:tcW w:w="1380" w:type="dxa"/>
            <w:noWrap w:val="0"/>
            <w:vAlign w:val="center"/>
          </w:tcPr>
          <w:p w14:paraId="282596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aps w:val="0"/>
                <w:color w:val="000000"/>
                <w:spacing w:val="0"/>
                <w:sz w:val="24"/>
                <w:szCs w:val="24"/>
                <w:shd w:val="clear" w:color="auto" w:fill="FFFFFF"/>
                <w:lang w:val="en-US" w:eastAsia="zh-CN"/>
              </w:rPr>
              <w:t>执法支队</w:t>
            </w:r>
          </w:p>
        </w:tc>
        <w:tc>
          <w:tcPr>
            <w:tcW w:w="8175" w:type="dxa"/>
            <w:noWrap w:val="0"/>
            <w:vAlign w:val="center"/>
          </w:tcPr>
          <w:p w14:paraId="20604F6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aps w:val="0"/>
                <w:color w:val="000000"/>
                <w:spacing w:val="0"/>
                <w:sz w:val="24"/>
                <w:szCs w:val="24"/>
                <w:shd w:val="clear" w:color="auto" w:fill="FFFFFF"/>
              </w:rPr>
              <w:t>行政执法机关主体是否合法，行政执法人员是否具备执法资格；主要事实是否清楚，证据是否确凿、充分；适用法律、法规、规章是否准确，执行</w:t>
            </w:r>
            <w:r>
              <w:rPr>
                <w:rFonts w:hint="default" w:ascii="Times New Roman" w:hAnsi="Times New Roman" w:eastAsia="宋体" w:cs="Times New Roman"/>
                <w:i w:val="0"/>
                <w:iCs w:val="0"/>
                <w:caps w:val="0"/>
                <w:color w:val="000000"/>
                <w:spacing w:val="0"/>
                <w:sz w:val="24"/>
                <w:szCs w:val="24"/>
                <w:shd w:val="clear" w:color="auto" w:fill="FFFFFF"/>
                <w:lang w:eastAsia="zh-CN"/>
              </w:rPr>
              <w:t>行政处罚自由裁量基准</w:t>
            </w:r>
            <w:r>
              <w:rPr>
                <w:rFonts w:hint="default" w:ascii="Times New Roman" w:hAnsi="Times New Roman" w:eastAsia="宋体" w:cs="Times New Roman"/>
                <w:i w:val="0"/>
                <w:iCs w:val="0"/>
                <w:caps w:val="0"/>
                <w:color w:val="000000"/>
                <w:spacing w:val="0"/>
                <w:sz w:val="24"/>
                <w:szCs w:val="24"/>
                <w:shd w:val="clear" w:color="auto" w:fill="FFFFFF"/>
              </w:rPr>
              <w:t>是否适当；程序是否合法；是否有超越本机关职权范围或滥用职权的情形；行政执法文书是否规范、齐备；违法行为是否涉嫌犯罪需要移送司法机关；其他应当审核的内容。</w:t>
            </w:r>
          </w:p>
        </w:tc>
        <w:tc>
          <w:tcPr>
            <w:tcW w:w="945" w:type="dxa"/>
            <w:noWrap w:val="0"/>
            <w:vAlign w:val="center"/>
          </w:tcPr>
          <w:p w14:paraId="450042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i w:val="0"/>
                <w:iCs w:val="0"/>
                <w:caps w:val="0"/>
                <w:color w:val="000000"/>
                <w:spacing w:val="0"/>
                <w:sz w:val="24"/>
                <w:szCs w:val="24"/>
                <w:highlight w:val="none"/>
                <w:shd w:val="clear" w:color="auto" w:fill="FFFFFF"/>
                <w:lang w:val="en-US" w:eastAsia="zh-CN"/>
              </w:rPr>
            </w:pPr>
            <w:r>
              <w:rPr>
                <w:rFonts w:hint="default" w:ascii="Times New Roman" w:hAnsi="Times New Roman" w:eastAsia="宋体" w:cs="Times New Roman"/>
                <w:i w:val="0"/>
                <w:iCs w:val="0"/>
                <w:caps w:val="0"/>
                <w:color w:val="000000"/>
                <w:spacing w:val="0"/>
                <w:sz w:val="24"/>
                <w:szCs w:val="24"/>
                <w:highlight w:val="none"/>
                <w:shd w:val="clear" w:color="auto" w:fill="FFFFFF"/>
                <w:lang w:val="en-US" w:eastAsia="zh-CN"/>
              </w:rPr>
              <w:t>5</w:t>
            </w:r>
            <w:r>
              <w:rPr>
                <w:rFonts w:hint="default" w:ascii="Times New Roman" w:hAnsi="Times New Roman" w:eastAsia="宋体" w:cs="Times New Roman"/>
                <w:i w:val="0"/>
                <w:iCs w:val="0"/>
                <w:caps w:val="0"/>
                <w:color w:val="000000"/>
                <w:spacing w:val="0"/>
                <w:sz w:val="24"/>
                <w:szCs w:val="24"/>
                <w:highlight w:val="none"/>
                <w:shd w:val="clear" w:color="auto" w:fill="FFFFFF"/>
                <w:lang w:eastAsia="zh-CN"/>
              </w:rPr>
              <w:t>个工作日</w:t>
            </w:r>
          </w:p>
        </w:tc>
      </w:tr>
      <w:tr w14:paraId="14D5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Merge w:val="continue"/>
            <w:noWrap w:val="0"/>
            <w:vAlign w:val="center"/>
          </w:tcPr>
          <w:p w14:paraId="1314E0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p>
        </w:tc>
        <w:tc>
          <w:tcPr>
            <w:tcW w:w="1350" w:type="dxa"/>
            <w:vMerge w:val="continue"/>
            <w:noWrap w:val="0"/>
            <w:vAlign w:val="center"/>
          </w:tcPr>
          <w:p w14:paraId="430149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p>
        </w:tc>
        <w:tc>
          <w:tcPr>
            <w:tcW w:w="2775" w:type="dxa"/>
            <w:noWrap w:val="0"/>
            <w:vAlign w:val="center"/>
          </w:tcPr>
          <w:p w14:paraId="49768F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aps w:val="0"/>
                <w:color w:val="000000"/>
                <w:spacing w:val="0"/>
                <w:sz w:val="24"/>
                <w:szCs w:val="24"/>
                <w:shd w:val="clear" w:color="auto" w:fill="FFFFFF"/>
              </w:rPr>
              <w:t>减轻、免除行政处罚决定</w:t>
            </w:r>
          </w:p>
        </w:tc>
        <w:tc>
          <w:tcPr>
            <w:tcW w:w="1380" w:type="dxa"/>
            <w:noWrap w:val="0"/>
            <w:vAlign w:val="center"/>
          </w:tcPr>
          <w:p w14:paraId="4AD46D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aps w:val="0"/>
                <w:color w:val="000000"/>
                <w:spacing w:val="0"/>
                <w:sz w:val="24"/>
                <w:szCs w:val="24"/>
                <w:shd w:val="clear" w:color="auto" w:fill="FFFFFF"/>
                <w:lang w:val="en-US" w:eastAsia="zh-CN"/>
              </w:rPr>
              <w:t>执法支队</w:t>
            </w:r>
          </w:p>
        </w:tc>
        <w:tc>
          <w:tcPr>
            <w:tcW w:w="8175" w:type="dxa"/>
            <w:noWrap w:val="0"/>
            <w:vAlign w:val="center"/>
          </w:tcPr>
          <w:p w14:paraId="190C1C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aps w:val="0"/>
                <w:color w:val="000000"/>
                <w:spacing w:val="0"/>
                <w:sz w:val="24"/>
                <w:szCs w:val="24"/>
                <w:shd w:val="clear" w:color="auto" w:fill="FFFFFF"/>
              </w:rPr>
              <w:t>减轻、免除行政处罚决定的法律依据是否充分，其他应当审核的内容。</w:t>
            </w:r>
          </w:p>
        </w:tc>
        <w:tc>
          <w:tcPr>
            <w:tcW w:w="945" w:type="dxa"/>
            <w:noWrap w:val="0"/>
            <w:vAlign w:val="center"/>
          </w:tcPr>
          <w:p w14:paraId="56D6CA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i w:val="0"/>
                <w:iCs w:val="0"/>
                <w:caps w:val="0"/>
                <w:color w:val="000000"/>
                <w:spacing w:val="0"/>
                <w:sz w:val="24"/>
                <w:szCs w:val="24"/>
                <w:highlight w:val="none"/>
                <w:shd w:val="clear" w:color="auto" w:fill="FFFFFF"/>
                <w:lang w:val="en-US" w:eastAsia="zh-CN"/>
              </w:rPr>
            </w:pPr>
            <w:r>
              <w:rPr>
                <w:rFonts w:hint="default" w:ascii="Times New Roman" w:hAnsi="Times New Roman" w:eastAsia="宋体" w:cs="Times New Roman"/>
                <w:i w:val="0"/>
                <w:iCs w:val="0"/>
                <w:caps w:val="0"/>
                <w:color w:val="000000"/>
                <w:spacing w:val="0"/>
                <w:sz w:val="24"/>
                <w:szCs w:val="24"/>
                <w:highlight w:val="none"/>
                <w:shd w:val="clear" w:color="auto" w:fill="FFFFFF"/>
                <w:lang w:val="en-US" w:eastAsia="zh-CN"/>
              </w:rPr>
              <w:t>5</w:t>
            </w:r>
            <w:r>
              <w:rPr>
                <w:rFonts w:hint="default" w:ascii="Times New Roman" w:hAnsi="Times New Roman" w:eastAsia="宋体" w:cs="Times New Roman"/>
                <w:i w:val="0"/>
                <w:iCs w:val="0"/>
                <w:caps w:val="0"/>
                <w:color w:val="000000"/>
                <w:spacing w:val="0"/>
                <w:sz w:val="24"/>
                <w:szCs w:val="24"/>
                <w:highlight w:val="none"/>
                <w:shd w:val="clear" w:color="auto" w:fill="FFFFFF"/>
                <w:lang w:eastAsia="zh-CN"/>
              </w:rPr>
              <w:t>个工作日</w:t>
            </w:r>
          </w:p>
        </w:tc>
      </w:tr>
      <w:tr w14:paraId="388F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jc w:val="center"/>
        </w:trPr>
        <w:tc>
          <w:tcPr>
            <w:tcW w:w="555" w:type="dxa"/>
            <w:vMerge w:val="continue"/>
            <w:noWrap w:val="0"/>
            <w:vAlign w:val="center"/>
          </w:tcPr>
          <w:p w14:paraId="6575B0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p>
        </w:tc>
        <w:tc>
          <w:tcPr>
            <w:tcW w:w="1350" w:type="dxa"/>
            <w:vMerge w:val="continue"/>
            <w:noWrap w:val="0"/>
            <w:vAlign w:val="center"/>
          </w:tcPr>
          <w:p w14:paraId="03ABF3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p>
        </w:tc>
        <w:tc>
          <w:tcPr>
            <w:tcW w:w="2775" w:type="dxa"/>
            <w:noWrap w:val="0"/>
            <w:vAlign w:val="center"/>
          </w:tcPr>
          <w:p w14:paraId="50C24F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法律法规规章和规范性文件规定以及本机关认定的其他重大行政处罚事项</w:t>
            </w:r>
          </w:p>
        </w:tc>
        <w:tc>
          <w:tcPr>
            <w:tcW w:w="1380" w:type="dxa"/>
            <w:noWrap w:val="0"/>
            <w:vAlign w:val="center"/>
          </w:tcPr>
          <w:p w14:paraId="4A57B0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执法支队</w:t>
            </w:r>
          </w:p>
        </w:tc>
        <w:tc>
          <w:tcPr>
            <w:tcW w:w="8175" w:type="dxa"/>
            <w:noWrap w:val="0"/>
            <w:vAlign w:val="center"/>
          </w:tcPr>
          <w:p w14:paraId="5C40406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aps w:val="0"/>
                <w:color w:val="000000"/>
                <w:spacing w:val="0"/>
                <w:sz w:val="24"/>
                <w:szCs w:val="24"/>
                <w:shd w:val="clear" w:color="auto" w:fill="FFFFFF"/>
              </w:rPr>
              <w:t>行政执法机关主体是否合法，行政执法人员是否具备执法资格；主要事实是否清楚，证据是否确凿、充分；适用法律、法规、规章是否准确，执行</w:t>
            </w:r>
            <w:r>
              <w:rPr>
                <w:rFonts w:hint="default" w:ascii="Times New Roman" w:hAnsi="Times New Roman" w:eastAsia="宋体" w:cs="Times New Roman"/>
                <w:i w:val="0"/>
                <w:iCs w:val="0"/>
                <w:caps w:val="0"/>
                <w:color w:val="000000"/>
                <w:spacing w:val="0"/>
                <w:sz w:val="24"/>
                <w:szCs w:val="24"/>
                <w:shd w:val="clear" w:color="auto" w:fill="FFFFFF"/>
                <w:lang w:eastAsia="zh-CN"/>
              </w:rPr>
              <w:t>行政处罚自由裁量基准</w:t>
            </w:r>
            <w:r>
              <w:rPr>
                <w:rFonts w:hint="default" w:ascii="Times New Roman" w:hAnsi="Times New Roman" w:eastAsia="宋体" w:cs="Times New Roman"/>
                <w:i w:val="0"/>
                <w:iCs w:val="0"/>
                <w:caps w:val="0"/>
                <w:color w:val="000000"/>
                <w:spacing w:val="0"/>
                <w:sz w:val="24"/>
                <w:szCs w:val="24"/>
                <w:shd w:val="clear" w:color="auto" w:fill="FFFFFF"/>
              </w:rPr>
              <w:t>是否适当；程序是否合法；是否有超越本机关职权范围或滥用职权的情形；行政执法文书是否规范、齐备；违法行为是否涉嫌犯罪需要移送司法机关；其他应当审核的内容。</w:t>
            </w:r>
          </w:p>
        </w:tc>
        <w:tc>
          <w:tcPr>
            <w:tcW w:w="945" w:type="dxa"/>
            <w:noWrap w:val="0"/>
            <w:vAlign w:val="center"/>
          </w:tcPr>
          <w:p w14:paraId="7C162B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5个工作日</w:t>
            </w:r>
          </w:p>
        </w:tc>
      </w:tr>
    </w:tbl>
    <w:p w14:paraId="22E8E377">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E933C964-DC2B-4121-9689-D54E7523130D}"/>
  </w:font>
  <w:font w:name="方正小标宋_GBK">
    <w:panose1 w:val="02000000000000000000"/>
    <w:charset w:val="86"/>
    <w:family w:val="auto"/>
    <w:pitch w:val="default"/>
    <w:sig w:usb0="A00002BF" w:usb1="38CF7CFA" w:usb2="00082016" w:usb3="00000000" w:csb0="00040001" w:csb1="00000000"/>
    <w:embedRegular r:id="rId2" w:fontKey="{FAE59466-78B2-43C7-BECA-0B0F4AB44A5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9F2894"/>
    <w:rsid w:val="509F2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2025-06-16T09:09:00Z</dcterms:created>
  <dc:creator>胖多啦</dc:creator>
  <cp:lastModifiedBy>胖多啦</cp:lastModifiedBy>
  <dcterms:modified xsi:type="dcterms:W3CDTF">2025-06-16T09:10:03Z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7E5EA99E17E44ECDBECC5D8CD315C12C_11</vt:lpwstr>
  </property>
  <property fmtid="{D5CDD505-2E9C-101B-9397-08002B2CF9AE}" pid="4" name="KSOTemplateDocerSaveRecord">
    <vt:lpwstr>eyJoZGlkIjoiZTAxNTRmYTFmYmI0OTgwNTEzYzA4NTgwZjNlODYyNmIiLCJ1c2VySWQiOiI0OTUzNDI1NDEifQ==</vt:lpwstr>
  </property>
</Properties>
</file>